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B" w:rsidRPr="006625FF" w:rsidRDefault="005B3A5B" w:rsidP="008E227A">
      <w:pPr>
        <w:jc w:val="center"/>
        <w:rPr>
          <w:rFonts w:ascii="Arial" w:hAnsi="Arial"/>
          <w:b/>
          <w:bCs/>
          <w:caps/>
          <w:spacing w:val="20"/>
          <w:sz w:val="24"/>
          <w:szCs w:val="26"/>
        </w:rPr>
      </w:pPr>
      <w:r w:rsidRPr="006625FF">
        <w:rPr>
          <w:rFonts w:ascii="Arial" w:hAnsi="Arial"/>
          <w:b/>
          <w:bCs/>
          <w:caps/>
          <w:spacing w:val="20"/>
          <w:sz w:val="24"/>
          <w:szCs w:val="26"/>
        </w:rPr>
        <w:t>РОССИЙСКАЯ  ФЕДЕРАЦИЯ</w:t>
      </w:r>
    </w:p>
    <w:p w:rsidR="00634874" w:rsidRPr="006625FF" w:rsidRDefault="00634874" w:rsidP="008E227A">
      <w:pPr>
        <w:jc w:val="center"/>
        <w:rPr>
          <w:rFonts w:ascii="Arial" w:hAnsi="Arial"/>
          <w:b/>
          <w:bCs/>
          <w:caps/>
          <w:spacing w:val="20"/>
          <w:sz w:val="24"/>
          <w:szCs w:val="26"/>
        </w:rPr>
      </w:pPr>
      <w:r w:rsidRPr="006625FF">
        <w:rPr>
          <w:rFonts w:ascii="Arial" w:hAnsi="Arial"/>
          <w:b/>
          <w:bCs/>
          <w:caps/>
          <w:spacing w:val="20"/>
          <w:sz w:val="24"/>
          <w:szCs w:val="26"/>
        </w:rPr>
        <w:t>АДМИНИСТРАЦИЯ ГОРДЕЕВСКОГО СЕЛЬСОВЕТА</w:t>
      </w:r>
    </w:p>
    <w:p w:rsidR="00634874" w:rsidRPr="006625FF" w:rsidRDefault="00634874" w:rsidP="008E227A">
      <w:pPr>
        <w:jc w:val="center"/>
        <w:rPr>
          <w:rFonts w:ascii="Arial" w:hAnsi="Arial"/>
          <w:b/>
          <w:bCs/>
          <w:caps/>
          <w:spacing w:val="20"/>
          <w:sz w:val="24"/>
          <w:szCs w:val="26"/>
        </w:rPr>
      </w:pPr>
      <w:r w:rsidRPr="006625FF">
        <w:rPr>
          <w:rFonts w:ascii="Arial" w:hAnsi="Arial"/>
          <w:b/>
          <w:bCs/>
          <w:caps/>
          <w:spacing w:val="20"/>
          <w:sz w:val="24"/>
          <w:szCs w:val="26"/>
        </w:rPr>
        <w:t>ТРОИЦКОГО  РАЙОНА АЛТАЙСКОГО КРАЯ</w:t>
      </w:r>
    </w:p>
    <w:p w:rsidR="00634874" w:rsidRPr="006625FF" w:rsidRDefault="00634874" w:rsidP="008E227A">
      <w:pPr>
        <w:jc w:val="center"/>
        <w:rPr>
          <w:rFonts w:ascii="Arial" w:hAnsi="Arial"/>
          <w:b/>
          <w:bCs/>
          <w:caps/>
          <w:sz w:val="24"/>
          <w:szCs w:val="26"/>
        </w:rPr>
      </w:pPr>
    </w:p>
    <w:p w:rsidR="00634874" w:rsidRPr="006625FF" w:rsidRDefault="00634874" w:rsidP="008E227A">
      <w:pPr>
        <w:jc w:val="center"/>
        <w:rPr>
          <w:rFonts w:ascii="Arial" w:hAnsi="Arial"/>
          <w:b/>
          <w:bCs/>
          <w:caps/>
          <w:sz w:val="24"/>
          <w:szCs w:val="26"/>
        </w:rPr>
      </w:pPr>
    </w:p>
    <w:p w:rsidR="00634874" w:rsidRPr="006625FF" w:rsidRDefault="00634874" w:rsidP="008E227A">
      <w:pPr>
        <w:jc w:val="center"/>
        <w:rPr>
          <w:rFonts w:ascii="Arial" w:hAnsi="Arial"/>
          <w:b/>
          <w:bCs/>
          <w:caps/>
          <w:spacing w:val="84"/>
          <w:sz w:val="24"/>
          <w:szCs w:val="26"/>
        </w:rPr>
      </w:pPr>
      <w:r w:rsidRPr="006625FF">
        <w:rPr>
          <w:rFonts w:ascii="Arial" w:hAnsi="Arial" w:cs="Arial"/>
          <w:b/>
          <w:bCs/>
          <w:caps/>
          <w:spacing w:val="84"/>
          <w:sz w:val="24"/>
          <w:szCs w:val="26"/>
        </w:rPr>
        <w:t>ПОСТАНОВЛЕНИЕ</w:t>
      </w:r>
    </w:p>
    <w:p w:rsidR="00634874" w:rsidRPr="006625FF" w:rsidRDefault="00634874" w:rsidP="008E227A">
      <w:pPr>
        <w:jc w:val="center"/>
        <w:rPr>
          <w:rFonts w:ascii="Arial" w:hAnsi="Arial"/>
          <w:b/>
          <w:bCs/>
          <w:caps/>
          <w:sz w:val="24"/>
          <w:szCs w:val="26"/>
        </w:rPr>
      </w:pPr>
    </w:p>
    <w:p w:rsidR="00634874" w:rsidRPr="00DA5D65" w:rsidRDefault="005B3A5B" w:rsidP="00D66113">
      <w:pPr>
        <w:rPr>
          <w:sz w:val="26"/>
          <w:szCs w:val="26"/>
        </w:rPr>
      </w:pPr>
      <w:r>
        <w:rPr>
          <w:sz w:val="26"/>
          <w:szCs w:val="26"/>
        </w:rPr>
        <w:t>26.12.</w:t>
      </w:r>
      <w:r w:rsidR="00634874" w:rsidRPr="00DA5D65">
        <w:rPr>
          <w:sz w:val="26"/>
          <w:szCs w:val="26"/>
        </w:rPr>
        <w:t xml:space="preserve">2016                                                                            </w:t>
      </w:r>
      <w:r w:rsidR="00634874" w:rsidRPr="00DA5D65">
        <w:rPr>
          <w:sz w:val="26"/>
          <w:szCs w:val="26"/>
        </w:rPr>
        <w:tab/>
      </w:r>
      <w:r w:rsidR="00634874" w:rsidRPr="00DA5D6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</w:t>
      </w:r>
      <w:r w:rsidR="00634874" w:rsidRPr="00DA5D65">
        <w:rPr>
          <w:sz w:val="26"/>
          <w:szCs w:val="26"/>
        </w:rPr>
        <w:t xml:space="preserve">№ </w:t>
      </w:r>
      <w:r>
        <w:rPr>
          <w:sz w:val="26"/>
          <w:szCs w:val="26"/>
        </w:rPr>
        <w:t>48</w:t>
      </w:r>
    </w:p>
    <w:p w:rsidR="00634874" w:rsidRPr="00DA5D65" w:rsidRDefault="00634874" w:rsidP="008E227A">
      <w:pPr>
        <w:jc w:val="center"/>
        <w:rPr>
          <w:rFonts w:ascii="Arial" w:hAnsi="Arial" w:cs="Arial"/>
          <w:bCs/>
          <w:sz w:val="26"/>
          <w:szCs w:val="26"/>
        </w:rPr>
      </w:pPr>
      <w:r w:rsidRPr="00DA5D65">
        <w:rPr>
          <w:rFonts w:ascii="Arial" w:hAnsi="Arial" w:cs="Arial"/>
          <w:bCs/>
          <w:sz w:val="26"/>
          <w:szCs w:val="26"/>
        </w:rPr>
        <w:t>П. Гордеевский</w:t>
      </w:r>
    </w:p>
    <w:p w:rsidR="00634874" w:rsidRDefault="00634874" w:rsidP="008E227A">
      <w:pPr>
        <w:jc w:val="center"/>
        <w:rPr>
          <w:rFonts w:ascii="Arial" w:hAnsi="Arial" w:cs="Arial"/>
          <w:b/>
          <w:sz w:val="26"/>
          <w:szCs w:val="26"/>
        </w:rPr>
      </w:pPr>
    </w:p>
    <w:p w:rsidR="00634874" w:rsidRDefault="00634874" w:rsidP="008E227A">
      <w:pPr>
        <w:jc w:val="center"/>
        <w:rPr>
          <w:rFonts w:ascii="Arial" w:hAnsi="Arial" w:cs="Arial"/>
          <w:b/>
          <w:sz w:val="26"/>
          <w:szCs w:val="26"/>
        </w:rPr>
      </w:pPr>
    </w:p>
    <w:p w:rsidR="00634874" w:rsidRPr="006C3D93" w:rsidRDefault="00634874" w:rsidP="008E227A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9039"/>
      </w:tblGrid>
      <w:tr w:rsidR="00634874" w:rsidRPr="00D82EB8" w:rsidTr="006625FF">
        <w:trPr>
          <w:cantSplit/>
        </w:trPr>
        <w:tc>
          <w:tcPr>
            <w:tcW w:w="9039" w:type="dxa"/>
          </w:tcPr>
          <w:p w:rsidR="00634874" w:rsidRPr="00EB7BAF" w:rsidRDefault="00EB5F10" w:rsidP="006625FF">
            <w:pPr>
              <w:pStyle w:val="ConsPlusTitle"/>
              <w:ind w:right="28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634874" w:rsidRPr="00EB7B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</w:t>
            </w:r>
            <w:r w:rsidR="00634874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Администрацией Гордеевского сельсовета Троицкого района Алтайского края</w:t>
            </w:r>
          </w:p>
        </w:tc>
      </w:tr>
    </w:tbl>
    <w:p w:rsidR="00634874" w:rsidRPr="00ED0AC5" w:rsidRDefault="006625FF" w:rsidP="00FB516F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34874" w:rsidRDefault="00634874" w:rsidP="00FB516F">
      <w:pPr>
        <w:ind w:firstLine="709"/>
        <w:jc w:val="both"/>
        <w:rPr>
          <w:sz w:val="28"/>
          <w:szCs w:val="28"/>
        </w:rPr>
      </w:pPr>
      <w:r w:rsidRPr="001E4845">
        <w:rPr>
          <w:sz w:val="28"/>
          <w:szCs w:val="28"/>
        </w:rPr>
        <w:t>В соответствии с</w:t>
      </w:r>
      <w:r w:rsidRPr="00935E04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2</w:t>
      </w:r>
      <w:r w:rsidRPr="00935E04">
        <w:rPr>
          <w:sz w:val="28"/>
          <w:szCs w:val="28"/>
        </w:rPr>
        <w:t xml:space="preserve"> </w:t>
      </w:r>
      <w:hyperlink r:id="rId7" w:history="1">
        <w:r w:rsidRPr="00935E04">
          <w:rPr>
            <w:sz w:val="28"/>
            <w:szCs w:val="28"/>
          </w:rPr>
          <w:t>части 4 статьи 19</w:t>
        </w:r>
      </w:hyperlink>
      <w:r>
        <w:rPr>
          <w:sz w:val="28"/>
          <w:szCs w:val="28"/>
        </w:rPr>
        <w:t xml:space="preserve"> </w:t>
      </w:r>
      <w:r w:rsidRPr="001E484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E4845">
        <w:rPr>
          <w:sz w:val="28"/>
          <w:szCs w:val="28"/>
        </w:rPr>
        <w:t xml:space="preserve"> </w:t>
      </w:r>
      <w:hyperlink r:id="rId8" w:history="1">
        <w:r w:rsidRPr="001E4845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 от 05.04.2013 № 44-ФЗ «О контрактной системе</w:t>
      </w:r>
      <w:r w:rsidRPr="001E4845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</w:t>
      </w:r>
    </w:p>
    <w:p w:rsidR="00634874" w:rsidRDefault="00634874" w:rsidP="00FB516F">
      <w:pPr>
        <w:ind w:firstLine="709"/>
        <w:jc w:val="both"/>
        <w:rPr>
          <w:sz w:val="28"/>
          <w:szCs w:val="28"/>
        </w:rPr>
      </w:pPr>
    </w:p>
    <w:p w:rsidR="00634874" w:rsidRDefault="00634874" w:rsidP="008E227A">
      <w:pPr>
        <w:ind w:firstLine="709"/>
        <w:jc w:val="center"/>
        <w:rPr>
          <w:sz w:val="28"/>
          <w:szCs w:val="28"/>
        </w:rPr>
      </w:pPr>
      <w:r w:rsidRPr="00ED0AC5">
        <w:rPr>
          <w:spacing w:val="40"/>
          <w:sz w:val="28"/>
          <w:szCs w:val="28"/>
        </w:rPr>
        <w:t>постановляю</w:t>
      </w:r>
      <w:r w:rsidRPr="00ED0AC5">
        <w:rPr>
          <w:sz w:val="28"/>
          <w:szCs w:val="28"/>
        </w:rPr>
        <w:t>:</w:t>
      </w:r>
    </w:p>
    <w:p w:rsidR="00634874" w:rsidRPr="00ED0AC5" w:rsidRDefault="00634874" w:rsidP="008E227A">
      <w:pPr>
        <w:ind w:firstLine="709"/>
        <w:jc w:val="center"/>
        <w:rPr>
          <w:sz w:val="28"/>
          <w:szCs w:val="28"/>
        </w:rPr>
      </w:pPr>
    </w:p>
    <w:p w:rsidR="00634874" w:rsidRPr="00FB516F" w:rsidRDefault="00634874" w:rsidP="00FB51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1249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Правила </w:t>
      </w:r>
      <w:r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AC4BCA">
        <w:rPr>
          <w:sz w:val="28"/>
          <w:szCs w:val="28"/>
        </w:rPr>
        <w:t xml:space="preserve"> цен товаров, работ, услуг), закупаемым </w:t>
      </w:r>
      <w:r>
        <w:rPr>
          <w:sz w:val="28"/>
          <w:szCs w:val="28"/>
        </w:rPr>
        <w:t>Администрацией Гордеевского сельсовета</w:t>
      </w:r>
      <w:r w:rsidRPr="00321249">
        <w:rPr>
          <w:sz w:val="28"/>
          <w:szCs w:val="28"/>
        </w:rPr>
        <w:t xml:space="preserve"> </w:t>
      </w:r>
      <w:r w:rsidRPr="00AF738B">
        <w:rPr>
          <w:sz w:val="28"/>
          <w:szCs w:val="28"/>
        </w:rPr>
        <w:t>(прилагается).</w:t>
      </w:r>
    </w:p>
    <w:p w:rsidR="00634874" w:rsidRPr="00ED0AC5" w:rsidRDefault="00634874" w:rsidP="00FB5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AC5">
        <w:rPr>
          <w:sz w:val="28"/>
          <w:szCs w:val="28"/>
        </w:rPr>
        <w:t xml:space="preserve">2. </w:t>
      </w:r>
      <w:r w:rsidRPr="00B95E75">
        <w:rPr>
          <w:sz w:val="28"/>
          <w:szCs w:val="28"/>
        </w:rPr>
        <w:t xml:space="preserve">Обнародовать данное постановление на официальном сайте Администрации </w:t>
      </w:r>
      <w:r>
        <w:rPr>
          <w:sz w:val="28"/>
          <w:szCs w:val="28"/>
        </w:rPr>
        <w:t xml:space="preserve">Гордеевского сельсовета </w:t>
      </w:r>
      <w:r w:rsidRPr="00B95E75">
        <w:rPr>
          <w:sz w:val="28"/>
          <w:szCs w:val="28"/>
        </w:rPr>
        <w:t>Троицкого района</w:t>
      </w:r>
      <w:r w:rsidRPr="00ED0AC5">
        <w:rPr>
          <w:sz w:val="28"/>
          <w:szCs w:val="28"/>
        </w:rPr>
        <w:t>.</w:t>
      </w:r>
    </w:p>
    <w:p w:rsidR="00634874" w:rsidRPr="00AC4BCA" w:rsidRDefault="00634874" w:rsidP="008911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D0AC5">
        <w:rPr>
          <w:color w:val="000000"/>
          <w:sz w:val="28"/>
          <w:szCs w:val="28"/>
        </w:rPr>
        <w:t xml:space="preserve">3. </w:t>
      </w:r>
      <w:r w:rsidRPr="00AC4BCA">
        <w:rPr>
          <w:sz w:val="28"/>
          <w:szCs w:val="28"/>
        </w:rPr>
        <w:t>Настоящее постанов</w:t>
      </w:r>
      <w:r>
        <w:rPr>
          <w:sz w:val="28"/>
          <w:szCs w:val="28"/>
        </w:rPr>
        <w:t>ление вступает в силу со дня его официального опубликования и распространяет свое действие на правоотношения, возникшие с 01.01.2016</w:t>
      </w:r>
      <w:r w:rsidRPr="00AC4BCA">
        <w:rPr>
          <w:sz w:val="28"/>
          <w:szCs w:val="28"/>
        </w:rPr>
        <w:t>.</w:t>
      </w:r>
    </w:p>
    <w:p w:rsidR="00634874" w:rsidRDefault="00634874" w:rsidP="008E227A">
      <w:pPr>
        <w:ind w:firstLine="709"/>
        <w:jc w:val="both"/>
        <w:rPr>
          <w:color w:val="000000"/>
          <w:sz w:val="28"/>
          <w:szCs w:val="28"/>
        </w:rPr>
      </w:pPr>
      <w:r w:rsidRPr="00ED0AC5">
        <w:rPr>
          <w:sz w:val="28"/>
          <w:szCs w:val="28"/>
        </w:rPr>
        <w:t xml:space="preserve">4. </w:t>
      </w:r>
      <w:r w:rsidRPr="00022463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634874" w:rsidRDefault="00634874" w:rsidP="008E227A">
      <w:pPr>
        <w:ind w:firstLine="709"/>
        <w:jc w:val="both"/>
        <w:rPr>
          <w:color w:val="000000"/>
          <w:sz w:val="28"/>
          <w:szCs w:val="28"/>
        </w:rPr>
      </w:pPr>
    </w:p>
    <w:p w:rsidR="00634874" w:rsidRDefault="00634874" w:rsidP="008E227A">
      <w:pPr>
        <w:ind w:firstLine="709"/>
        <w:jc w:val="both"/>
        <w:rPr>
          <w:color w:val="000000"/>
          <w:sz w:val="28"/>
          <w:szCs w:val="28"/>
        </w:rPr>
      </w:pPr>
    </w:p>
    <w:p w:rsidR="00634874" w:rsidRDefault="00634874" w:rsidP="008E227A">
      <w:pPr>
        <w:ind w:firstLine="709"/>
        <w:jc w:val="both"/>
        <w:rPr>
          <w:color w:val="000000"/>
          <w:sz w:val="28"/>
          <w:szCs w:val="28"/>
        </w:rPr>
      </w:pPr>
    </w:p>
    <w:p w:rsidR="00634874" w:rsidRDefault="00634874" w:rsidP="008E227A">
      <w:pPr>
        <w:ind w:firstLine="709"/>
        <w:jc w:val="both"/>
        <w:rPr>
          <w:color w:val="000000"/>
          <w:sz w:val="28"/>
          <w:szCs w:val="28"/>
        </w:rPr>
      </w:pPr>
    </w:p>
    <w:p w:rsidR="00634874" w:rsidRDefault="00634874" w:rsidP="008E22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634874" w:rsidRPr="009E4163" w:rsidRDefault="00634874" w:rsidP="008E22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сельсовета                                                             В.Ф. Богданов             </w:t>
      </w:r>
    </w:p>
    <w:p w:rsidR="00634874" w:rsidRPr="009E4163" w:rsidRDefault="00634874" w:rsidP="008E227A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634874" w:rsidRDefault="00634874" w:rsidP="008E227A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634874" w:rsidRPr="009E4163" w:rsidRDefault="00634874" w:rsidP="008E227A">
      <w:pPr>
        <w:autoSpaceDE w:val="0"/>
        <w:autoSpaceDN w:val="0"/>
        <w:adjustRightInd w:val="0"/>
        <w:jc w:val="both"/>
        <w:outlineLvl w:val="0"/>
        <w:rPr>
          <w:spacing w:val="40"/>
          <w:sz w:val="28"/>
          <w:szCs w:val="28"/>
        </w:rPr>
      </w:pPr>
    </w:p>
    <w:p w:rsidR="00634874" w:rsidRDefault="00634874" w:rsidP="0078363B">
      <w:pPr>
        <w:spacing w:line="240" w:lineRule="exact"/>
        <w:ind w:left="5250"/>
        <w:rPr>
          <w:sz w:val="28"/>
          <w:szCs w:val="28"/>
        </w:rPr>
      </w:pPr>
    </w:p>
    <w:p w:rsidR="00634874" w:rsidRDefault="00634874" w:rsidP="0078363B">
      <w:pPr>
        <w:spacing w:line="240" w:lineRule="exact"/>
        <w:ind w:left="5250"/>
        <w:rPr>
          <w:sz w:val="28"/>
          <w:szCs w:val="28"/>
        </w:rPr>
      </w:pPr>
    </w:p>
    <w:p w:rsidR="005B3A5B" w:rsidRDefault="005B3A5B" w:rsidP="0078363B">
      <w:pPr>
        <w:spacing w:line="240" w:lineRule="exact"/>
        <w:ind w:left="5250"/>
        <w:rPr>
          <w:sz w:val="28"/>
          <w:szCs w:val="28"/>
        </w:rPr>
      </w:pPr>
    </w:p>
    <w:p w:rsidR="005B3A5B" w:rsidRDefault="005B3A5B" w:rsidP="0078363B">
      <w:pPr>
        <w:spacing w:line="240" w:lineRule="exact"/>
        <w:ind w:left="5250"/>
        <w:rPr>
          <w:sz w:val="28"/>
          <w:szCs w:val="28"/>
        </w:rPr>
      </w:pPr>
    </w:p>
    <w:p w:rsidR="005B3A5B" w:rsidRDefault="005B3A5B" w:rsidP="0078363B">
      <w:pPr>
        <w:spacing w:line="240" w:lineRule="exact"/>
        <w:ind w:left="5250"/>
        <w:rPr>
          <w:sz w:val="28"/>
          <w:szCs w:val="28"/>
        </w:rPr>
      </w:pPr>
    </w:p>
    <w:p w:rsidR="005B3A5B" w:rsidRDefault="005B3A5B" w:rsidP="0078363B">
      <w:pPr>
        <w:spacing w:line="240" w:lineRule="exact"/>
        <w:ind w:left="5250"/>
        <w:rPr>
          <w:sz w:val="28"/>
          <w:szCs w:val="28"/>
        </w:rPr>
      </w:pPr>
    </w:p>
    <w:p w:rsidR="00634874" w:rsidRDefault="00634874" w:rsidP="00543243">
      <w:pPr>
        <w:spacing w:line="240" w:lineRule="exact"/>
        <w:ind w:left="5250"/>
        <w:jc w:val="both"/>
        <w:rPr>
          <w:sz w:val="28"/>
          <w:szCs w:val="28"/>
        </w:rPr>
      </w:pPr>
    </w:p>
    <w:p w:rsidR="00634874" w:rsidRPr="00462E84" w:rsidRDefault="00634874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34874" w:rsidRDefault="00634874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62E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Гордеевского сельсовета</w:t>
      </w:r>
    </w:p>
    <w:p w:rsidR="00634874" w:rsidRDefault="00634874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Троицкого района Алтайского </w:t>
      </w:r>
      <w:r w:rsidRPr="00462E84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</w:p>
    <w:p w:rsidR="00634874" w:rsidRPr="00462E84" w:rsidRDefault="005B3A5B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О</w:t>
      </w:r>
      <w:r w:rsidR="00634874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 26.12.2016    № 48</w:t>
      </w:r>
    </w:p>
    <w:p w:rsidR="00634874" w:rsidRPr="00462E84" w:rsidRDefault="00634874" w:rsidP="00E2255A">
      <w:pPr>
        <w:rPr>
          <w:sz w:val="28"/>
          <w:szCs w:val="28"/>
        </w:rPr>
      </w:pPr>
    </w:p>
    <w:p w:rsidR="00634874" w:rsidRPr="00462E84" w:rsidRDefault="00634874" w:rsidP="00E2255A">
      <w:pPr>
        <w:rPr>
          <w:sz w:val="28"/>
          <w:szCs w:val="28"/>
        </w:rPr>
      </w:pPr>
    </w:p>
    <w:p w:rsidR="00634874" w:rsidRDefault="00634874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634874" w:rsidRPr="00B0672D" w:rsidRDefault="00634874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634874" w:rsidRPr="000F54EE" w:rsidRDefault="00634874" w:rsidP="00BF537C">
      <w:pPr>
        <w:spacing w:line="240" w:lineRule="exact"/>
        <w:jc w:val="center"/>
        <w:rPr>
          <w:sz w:val="28"/>
          <w:szCs w:val="28"/>
        </w:rPr>
      </w:pPr>
      <w:r w:rsidRPr="000F54EE">
        <w:rPr>
          <w:sz w:val="28"/>
          <w:szCs w:val="28"/>
        </w:rPr>
        <w:t>ПРАВИЛА</w:t>
      </w:r>
    </w:p>
    <w:p w:rsidR="00634874" w:rsidRPr="000F54EE" w:rsidRDefault="00634874" w:rsidP="000F54EE">
      <w:pPr>
        <w:jc w:val="center"/>
        <w:rPr>
          <w:sz w:val="28"/>
          <w:szCs w:val="28"/>
        </w:rPr>
      </w:pPr>
      <w:r w:rsidRPr="000F54EE">
        <w:rPr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>
        <w:rPr>
          <w:sz w:val="28"/>
          <w:szCs w:val="28"/>
        </w:rPr>
        <w:t>Администрацией Гордеевского сельсовета</w:t>
      </w:r>
      <w:r w:rsidRPr="000F54EE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</w:t>
      </w:r>
      <w:r w:rsidRPr="000F54EE">
        <w:rPr>
          <w:sz w:val="28"/>
          <w:szCs w:val="28"/>
        </w:rPr>
        <w:t>ого района Алтайского</w:t>
      </w:r>
      <w:r>
        <w:rPr>
          <w:sz w:val="28"/>
          <w:szCs w:val="28"/>
        </w:rPr>
        <w:t xml:space="preserve"> края</w:t>
      </w:r>
      <w:r w:rsidRPr="000F54EE">
        <w:rPr>
          <w:sz w:val="28"/>
          <w:szCs w:val="28"/>
        </w:rPr>
        <w:t xml:space="preserve"> </w:t>
      </w:r>
    </w:p>
    <w:p w:rsidR="00634874" w:rsidRPr="000F54EE" w:rsidRDefault="00634874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4874" w:rsidRDefault="00634874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устанавливают порядок </w:t>
      </w:r>
      <w:r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AC4BCA">
        <w:rPr>
          <w:sz w:val="28"/>
          <w:szCs w:val="28"/>
        </w:rPr>
        <w:t xml:space="preserve"> цен товаров, работ, услуг), закупаемым</w:t>
      </w:r>
      <w:r>
        <w:rPr>
          <w:sz w:val="28"/>
          <w:szCs w:val="28"/>
        </w:rPr>
        <w:t xml:space="preserve"> Администрацией Гордеевского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Троицк</w:t>
      </w:r>
      <w:r w:rsidRPr="00FB516F">
        <w:rPr>
          <w:sz w:val="28"/>
          <w:szCs w:val="28"/>
        </w:rPr>
        <w:t>ого района Алтайского края</w:t>
      </w:r>
      <w:r>
        <w:rPr>
          <w:b/>
          <w:sz w:val="28"/>
          <w:szCs w:val="28"/>
        </w:rPr>
        <w:t xml:space="preserve"> </w:t>
      </w:r>
      <w:r w:rsidRPr="00543243">
        <w:rPr>
          <w:sz w:val="28"/>
          <w:szCs w:val="28"/>
        </w:rPr>
        <w:t>(далее – муниципальный орган)</w:t>
      </w:r>
      <w:bookmarkStart w:id="2" w:name="sub_1002"/>
      <w:bookmarkEnd w:id="1"/>
      <w:r>
        <w:rPr>
          <w:sz w:val="28"/>
          <w:szCs w:val="28"/>
        </w:rPr>
        <w:t>.</w:t>
      </w:r>
    </w:p>
    <w:p w:rsidR="00634874" w:rsidRPr="00835C77" w:rsidRDefault="00634874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 xml:space="preserve"> 2. </w:t>
      </w:r>
      <w:r>
        <w:rPr>
          <w:sz w:val="28"/>
          <w:szCs w:val="28"/>
        </w:rPr>
        <w:t>Муниципальный орган, являющийся в соответствии с бюджетным законодательством Российской Федерации главным распорядителем бюджетных средств, утверждает определенные в соответствии с настоящими Правилами т</w:t>
      </w:r>
      <w:r w:rsidRPr="00FE61D9">
        <w:rPr>
          <w:sz w:val="28"/>
          <w:szCs w:val="28"/>
        </w:rPr>
        <w:t xml:space="preserve">ребования к закупаемым </w:t>
      </w:r>
      <w:r>
        <w:rPr>
          <w:sz w:val="28"/>
          <w:szCs w:val="28"/>
        </w:rPr>
        <w:t>им отдель</w:t>
      </w:r>
      <w:r w:rsidRPr="00FE61D9">
        <w:rPr>
          <w:sz w:val="28"/>
          <w:szCs w:val="28"/>
        </w:rPr>
        <w:t xml:space="preserve">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>
        <w:rPr>
          <w:sz w:val="28"/>
          <w:szCs w:val="28"/>
        </w:rPr>
        <w:t>–</w:t>
      </w:r>
      <w:r w:rsidRPr="00FE61D9">
        <w:rPr>
          <w:sz w:val="28"/>
          <w:szCs w:val="28"/>
        </w:rPr>
        <w:t xml:space="preserve"> ведомственный перечень).</w:t>
      </w:r>
    </w:p>
    <w:bookmarkEnd w:id="2"/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обязательный перечень).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орган </w:t>
      </w:r>
      <w:r w:rsidRPr="00835C77">
        <w:rPr>
          <w:sz w:val="28"/>
          <w:szCs w:val="28"/>
        </w:rPr>
        <w:t>в</w:t>
      </w:r>
      <w:r>
        <w:rPr>
          <w:sz w:val="28"/>
          <w:szCs w:val="28"/>
        </w:rPr>
        <w:t xml:space="preserve"> ведомственном перечне определяе</w:t>
      </w:r>
      <w:r w:rsidRPr="00835C77">
        <w:rPr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34874" w:rsidRPr="00131FD2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EB0AC0">
        <w:rPr>
          <w:sz w:val="28"/>
          <w:szCs w:val="28"/>
        </w:rPr>
        <w:t xml:space="preserve">20 </w:t>
      </w:r>
      <w:r w:rsidRPr="00131FD2">
        <w:rPr>
          <w:sz w:val="28"/>
          <w:szCs w:val="28"/>
        </w:rPr>
        <w:t>процентов:</w:t>
      </w:r>
    </w:p>
    <w:p w:rsidR="00634874" w:rsidRPr="00131FD2" w:rsidRDefault="00634874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r w:rsidRPr="00B76BCE">
        <w:rPr>
          <w:sz w:val="28"/>
          <w:szCs w:val="28"/>
        </w:rPr>
        <w:lastRenderedPageBreak/>
        <w:t>а) доля оплаты по отдельному виду товаров, работ, услуг для обеспечения муниципальных нужд</w:t>
      </w:r>
      <w:r>
        <w:rPr>
          <w:sz w:val="28"/>
          <w:szCs w:val="28"/>
        </w:rPr>
        <w:t xml:space="preserve"> муниципального органа</w:t>
      </w:r>
      <w:r w:rsidRPr="00B76BCE">
        <w:rPr>
          <w:sz w:val="28"/>
          <w:szCs w:val="28"/>
        </w:rPr>
        <w:t xml:space="preserve">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</w:t>
      </w:r>
      <w:r>
        <w:rPr>
          <w:sz w:val="28"/>
          <w:szCs w:val="28"/>
        </w:rPr>
        <w:t xml:space="preserve"> </w:t>
      </w:r>
      <w:r w:rsidRPr="00B76BCE">
        <w:rPr>
          <w:sz w:val="28"/>
          <w:szCs w:val="28"/>
        </w:rPr>
        <w:t>в общем объеме оплаты по контрактам, включенным в указанные реестры (по графикам платеж</w:t>
      </w:r>
      <w:r>
        <w:rPr>
          <w:sz w:val="28"/>
          <w:szCs w:val="28"/>
        </w:rPr>
        <w:t xml:space="preserve">ей), заключенным </w:t>
      </w:r>
      <w:r w:rsidRPr="00B76BCE">
        <w:rPr>
          <w:sz w:val="28"/>
          <w:szCs w:val="28"/>
        </w:rPr>
        <w:t>муниципальным органом;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r w:rsidRPr="00131FD2">
        <w:rPr>
          <w:sz w:val="28"/>
          <w:szCs w:val="28"/>
        </w:rPr>
        <w:t>б) доля контрактов муниципального органа</w:t>
      </w:r>
      <w:r w:rsidRPr="00D07723">
        <w:rPr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D07723">
        <w:rPr>
          <w:sz w:val="28"/>
          <w:szCs w:val="28"/>
        </w:rPr>
        <w:t>, заключенных в отчетном финансовом году, в о</w:t>
      </w:r>
      <w:r>
        <w:rPr>
          <w:sz w:val="28"/>
          <w:szCs w:val="28"/>
        </w:rPr>
        <w:t>бщем количестве контрактов</w:t>
      </w:r>
      <w:r w:rsidRPr="00D077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органа</w:t>
      </w:r>
      <w:r w:rsidRPr="00835C77">
        <w:rPr>
          <w:sz w:val="28"/>
          <w:szCs w:val="28"/>
        </w:rPr>
        <w:t xml:space="preserve">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4. Муниципальный орган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</w:t>
      </w:r>
      <w:r>
        <w:rPr>
          <w:sz w:val="28"/>
          <w:szCs w:val="28"/>
        </w:rPr>
        <w:t>ном перечне, применяе</w:t>
      </w:r>
      <w:r w:rsidRPr="00835C77">
        <w:rPr>
          <w:sz w:val="28"/>
          <w:szCs w:val="28"/>
        </w:rPr>
        <w:t xml:space="preserve">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sz w:val="28"/>
          <w:szCs w:val="28"/>
        </w:rPr>
        <w:t>муниципальным органом закупок</w:t>
      </w:r>
      <w:r w:rsidRPr="00835C77">
        <w:rPr>
          <w:sz w:val="28"/>
          <w:szCs w:val="28"/>
        </w:rPr>
        <w:t>.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>
        <w:rPr>
          <w:sz w:val="28"/>
          <w:szCs w:val="28"/>
        </w:rPr>
        <w:t>муниципальный орган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6. Муниципальный орган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</w:t>
      </w:r>
      <w:r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 xml:space="preserve"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634874" w:rsidRPr="00835C77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34874" w:rsidRPr="00715DD4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>
        <w:rPr>
          <w:sz w:val="28"/>
          <w:szCs w:val="28"/>
        </w:rPr>
        <w:t>муниципального органа</w:t>
      </w:r>
      <w:r w:rsidRPr="00715DD4">
        <w:rPr>
          <w:sz w:val="28"/>
          <w:szCs w:val="28"/>
        </w:rPr>
        <w:t xml:space="preserve">, если затраты на их приобретение в соответствии с правилами определения нормативных затрат на обеспечение функций </w:t>
      </w:r>
      <w:r>
        <w:rPr>
          <w:sz w:val="28"/>
          <w:szCs w:val="28"/>
        </w:rPr>
        <w:t xml:space="preserve">муниципального органа, </w:t>
      </w:r>
      <w:r w:rsidRPr="00715DD4">
        <w:rPr>
          <w:sz w:val="28"/>
          <w:szCs w:val="28"/>
        </w:rPr>
        <w:lastRenderedPageBreak/>
        <w:t xml:space="preserve">утвержденными постановлением </w:t>
      </w:r>
      <w:r>
        <w:rPr>
          <w:sz w:val="28"/>
          <w:szCs w:val="28"/>
        </w:rPr>
        <w:t>А</w:t>
      </w:r>
      <w:r w:rsidRPr="00715DD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Гордеевского сельсовета Троицкого района Алтайского</w:t>
      </w:r>
      <w:r w:rsidRPr="00715DD4">
        <w:rPr>
          <w:sz w:val="28"/>
          <w:szCs w:val="28"/>
        </w:rPr>
        <w:t xml:space="preserve"> края (далее – правила определения нормативных затрат), определяются с учетом категорий и (или) групп должностей работников;</w:t>
      </w:r>
    </w:p>
    <w:p w:rsidR="00634874" w:rsidRPr="00715DD4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>
        <w:rPr>
          <w:sz w:val="28"/>
          <w:szCs w:val="28"/>
        </w:rPr>
        <w:t>муниципальным</w:t>
      </w:r>
      <w:r w:rsidRPr="00715DD4">
        <w:rPr>
          <w:sz w:val="28"/>
          <w:szCs w:val="28"/>
        </w:rPr>
        <w:t xml:space="preserve"> органом.</w:t>
      </w:r>
    </w:p>
    <w:p w:rsidR="00634874" w:rsidRPr="00715DD4" w:rsidRDefault="0063487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5"/>
    <w:p w:rsidR="00634874" w:rsidRDefault="00634874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634874" w:rsidRDefault="0063487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634874" w:rsidRDefault="0063487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634874" w:rsidRDefault="0063487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634874" w:rsidRDefault="00634874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Утвержденный муниципальным органом</w:t>
      </w:r>
      <w:r w:rsidRPr="00835C77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634874" w:rsidRPr="00FB7974" w:rsidRDefault="00634874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FB7974">
        <w:rPr>
          <w:sz w:val="28"/>
          <w:szCs w:val="28"/>
        </w:rPr>
        <w:t xml:space="preserve">Используемые при формировании </w:t>
      </w:r>
      <w:r>
        <w:rPr>
          <w:sz w:val="28"/>
          <w:szCs w:val="28"/>
        </w:rPr>
        <w:t xml:space="preserve">ведомственного </w:t>
      </w:r>
      <w:r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634874" w:rsidRPr="00FB7974" w:rsidRDefault="006348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</w:t>
      </w:r>
      <w:r w:rsidRPr="00AE242E">
        <w:rPr>
          <w:sz w:val="28"/>
          <w:szCs w:val="28"/>
        </w:rPr>
        <w:t>азона</w:t>
      </w:r>
      <w:r w:rsidRPr="00FB7974">
        <w:rPr>
          <w:sz w:val="28"/>
          <w:szCs w:val="28"/>
        </w:rPr>
        <w:t xml:space="preserve"> значений или запрета на применение таких характеристик (свойств).</w:t>
      </w:r>
    </w:p>
    <w:p w:rsidR="00634874" w:rsidRDefault="006348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634874" w:rsidRDefault="00634874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634874" w:rsidRDefault="00634874" w:rsidP="006F5CDB">
      <w:pPr>
        <w:ind w:firstLine="709"/>
        <w:jc w:val="both"/>
        <w:rPr>
          <w:sz w:val="28"/>
          <w:szCs w:val="28"/>
        </w:rPr>
        <w:sectPr w:rsidR="00634874" w:rsidSect="006625FF">
          <w:headerReference w:type="default" r:id="rId9"/>
          <w:headerReference w:type="first" r:id="rId10"/>
          <w:footerReference w:type="first" r:id="rId11"/>
          <w:type w:val="nextColumn"/>
          <w:pgSz w:w="11907" w:h="16840" w:code="9"/>
          <w:pgMar w:top="1134" w:right="567" w:bottom="1134" w:left="1276" w:header="397" w:footer="737" w:gutter="0"/>
          <w:pgNumType w:start="1"/>
          <w:cols w:space="720"/>
          <w:titlePg/>
          <w:docGrid w:linePitch="272"/>
        </w:sectPr>
      </w:pPr>
    </w:p>
    <w:p w:rsidR="00634874" w:rsidRPr="007E7123" w:rsidRDefault="00634874" w:rsidP="007432C0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 1</w:t>
      </w:r>
    </w:p>
    <w:p w:rsidR="00634874" w:rsidRPr="007E7123" w:rsidRDefault="00634874" w:rsidP="007432C0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к Правилам определения требований к от</w:t>
      </w:r>
      <w:r>
        <w:rPr>
          <w:sz w:val="26"/>
          <w:szCs w:val="26"/>
        </w:rPr>
        <w:t xml:space="preserve">-дельным </w:t>
      </w:r>
      <w:r w:rsidRPr="007E7123">
        <w:rPr>
          <w:sz w:val="26"/>
          <w:szCs w:val="26"/>
        </w:rPr>
        <w:t>видам товаров, работ, услуг (в том числе предельных цен товаров, работ, услуг), закупаемым</w:t>
      </w:r>
      <w:r>
        <w:rPr>
          <w:sz w:val="26"/>
          <w:szCs w:val="26"/>
        </w:rPr>
        <w:t xml:space="preserve"> Администрацией Гордеевского сельсовета Троицкого района </w:t>
      </w:r>
      <w:r w:rsidRPr="007E7123">
        <w:rPr>
          <w:sz w:val="26"/>
          <w:szCs w:val="26"/>
        </w:rPr>
        <w:t>Алтайского края</w:t>
      </w:r>
    </w:p>
    <w:bookmarkEnd w:id="16"/>
    <w:p w:rsidR="00634874" w:rsidRPr="007E7123" w:rsidRDefault="00634874" w:rsidP="007432C0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634874" w:rsidRPr="007E7123" w:rsidRDefault="00634874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634874" w:rsidRPr="007E7123" w:rsidRDefault="00634874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634874" w:rsidRPr="007E7123" w:rsidRDefault="0063487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34874" w:rsidRPr="007E7123" w:rsidRDefault="0063487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>ведомственного перечня отдельных видов товаров, работ, услуг, их потребительские свойства</w:t>
      </w:r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634874" w:rsidRPr="00572A54" w:rsidRDefault="00634874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1"/>
        <w:gridCol w:w="10"/>
        <w:gridCol w:w="808"/>
        <w:gridCol w:w="10"/>
        <w:gridCol w:w="1513"/>
        <w:gridCol w:w="844"/>
        <w:gridCol w:w="12"/>
        <w:gridCol w:w="1441"/>
        <w:gridCol w:w="6"/>
        <w:gridCol w:w="1565"/>
        <w:gridCol w:w="9"/>
        <w:gridCol w:w="1599"/>
        <w:gridCol w:w="9"/>
        <w:gridCol w:w="1577"/>
        <w:gridCol w:w="15"/>
        <w:gridCol w:w="9"/>
        <w:gridCol w:w="1562"/>
        <w:gridCol w:w="71"/>
        <w:gridCol w:w="2199"/>
        <w:gridCol w:w="71"/>
        <w:gridCol w:w="1624"/>
      </w:tblGrid>
      <w:tr w:rsidR="00634874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FB516F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характеристикам, утверж</w:t>
            </w:r>
            <w:r>
              <w:t>-</w:t>
            </w:r>
            <w:r w:rsidRPr="00832E9C">
              <w:t xml:space="preserve">денные </w:t>
            </w:r>
            <w:r>
              <w:t>А</w:t>
            </w:r>
            <w:r w:rsidRPr="00832E9C">
              <w:t>дминистрацией</w:t>
            </w:r>
            <w:r>
              <w:t xml:space="preserve"> _____________</w:t>
            </w:r>
            <w:r w:rsidRPr="00832E9C">
              <w:t xml:space="preserve">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832E9C" w:rsidRDefault="00634874" w:rsidP="00AE242E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</w:t>
            </w:r>
            <w:r>
              <w:t>-</w:t>
            </w:r>
            <w:r w:rsidRPr="00832E9C">
              <w:t xml:space="preserve">рактеристикам, утвержденные </w:t>
            </w:r>
            <w:r>
              <w:t>Администрацией Гордеевского сельсовета</w:t>
            </w:r>
            <w:r w:rsidRPr="00832E9C">
              <w:t xml:space="preserve"> </w:t>
            </w:r>
            <w:r>
              <w:t>Троицкого района</w:t>
            </w:r>
            <w:r w:rsidRPr="00832E9C">
              <w:t xml:space="preserve"> Алтайского края</w:t>
            </w:r>
          </w:p>
        </w:tc>
      </w:tr>
      <w:tr w:rsidR="00634874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</w:t>
            </w:r>
            <w:r>
              <w:t>-</w:t>
            </w:r>
            <w:r w:rsidRPr="00832E9C">
              <w:t>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</w:t>
            </w:r>
            <w:r>
              <w:t>-</w:t>
            </w:r>
            <w:r w:rsidRPr="00832E9C">
              <w:t>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832E9C" w:rsidRDefault="00634874" w:rsidP="00C918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обоснование отклоне</w:t>
            </w:r>
            <w:r>
              <w:t>-</w:t>
            </w:r>
            <w:r w:rsidRPr="00832E9C">
              <w:t>ния значения характе</w:t>
            </w:r>
            <w:r>
              <w:t>-</w:t>
            </w:r>
            <w:r w:rsidRPr="00832E9C">
              <w:t>ристики от утвержден</w:t>
            </w:r>
            <w:r>
              <w:t>-</w:t>
            </w:r>
            <w:r w:rsidRPr="00832E9C">
              <w:t xml:space="preserve">ной </w:t>
            </w:r>
            <w:r>
              <w:t>А</w:t>
            </w:r>
            <w:r w:rsidRPr="00832E9C">
              <w:t>дминистрацией</w:t>
            </w:r>
            <w:r>
              <w:t xml:space="preserve"> Троицкого района </w:t>
            </w:r>
            <w:r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832E9C" w:rsidRDefault="00634874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34874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874" w:rsidRPr="00832E9C" w:rsidRDefault="00634874" w:rsidP="00C91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>к Правилам определения требова</w:t>
            </w:r>
            <w:r>
              <w:t>-</w:t>
            </w:r>
            <w:r w:rsidRPr="00516992">
              <w:t>ний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>
              <w:t>Администрацией Гордеевского сельсовета</w:t>
            </w:r>
            <w:r w:rsidRPr="00516992">
              <w:t xml:space="preserve"> </w:t>
            </w:r>
            <w:r>
              <w:t>Троицкого района</w:t>
            </w:r>
            <w:r w:rsidRPr="00832E9C">
              <w:t xml:space="preserve"> </w:t>
            </w:r>
            <w:r w:rsidRPr="00516992">
              <w:t>Алтайского края</w:t>
            </w:r>
            <w:r>
              <w:t>, утвер</w:t>
            </w:r>
            <w:r w:rsidRPr="00516992">
              <w:t>жденным</w:t>
            </w:r>
            <w:r w:rsidRPr="00832E9C">
              <w:t xml:space="preserve"> постановлением </w:t>
            </w:r>
            <w:r>
              <w:t>А</w:t>
            </w:r>
            <w:r w:rsidRPr="00832E9C">
              <w:t>дминистрации</w:t>
            </w:r>
            <w:r>
              <w:t xml:space="preserve"> Гордеевского сельсовета</w:t>
            </w:r>
            <w:r w:rsidRPr="00832E9C">
              <w:t xml:space="preserve"> </w:t>
            </w:r>
            <w:r>
              <w:t xml:space="preserve">Троицкого  района Алтайского </w:t>
            </w:r>
            <w:r w:rsidRPr="00832E9C">
              <w:t xml:space="preserve">края </w:t>
            </w:r>
            <w:r>
              <w:t xml:space="preserve"> </w:t>
            </w:r>
            <w:r w:rsidRPr="00832E9C">
              <w:t>от __________ 201</w:t>
            </w:r>
            <w:r>
              <w:t>6</w:t>
            </w:r>
            <w:r w:rsidRPr="00832E9C">
              <w:t xml:space="preserve"> № _________</w:t>
            </w:r>
          </w:p>
        </w:tc>
      </w:tr>
      <w:tr w:rsidR="00634874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4874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4874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874" w:rsidRPr="006F5CDB" w:rsidRDefault="00634874" w:rsidP="00C918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>
              <w:rPr>
                <w:i/>
              </w:rPr>
              <w:t>Администрацией Гордеевского сельсовета</w:t>
            </w:r>
            <w:r>
              <w:t>Троицкого района</w:t>
            </w:r>
            <w:r w:rsidRPr="00832E9C">
              <w:t xml:space="preserve"> Алтайского края</w:t>
            </w:r>
          </w:p>
        </w:tc>
      </w:tr>
      <w:tr w:rsidR="00634874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634874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874" w:rsidRPr="006F5CDB" w:rsidRDefault="00634874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34874" w:rsidRPr="002E7432" w:rsidRDefault="00634874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634874" w:rsidRPr="007E7123" w:rsidRDefault="00634874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34874" w:rsidRPr="00BE0083" w:rsidRDefault="0063487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BE0083">
        <w:rPr>
          <w:sz w:val="26"/>
          <w:szCs w:val="26"/>
        </w:rPr>
        <w:lastRenderedPageBreak/>
        <w:t>ПРИЛОЖЕНИЕ 2</w:t>
      </w:r>
    </w:p>
    <w:p w:rsidR="00634874" w:rsidRPr="00BE0083" w:rsidRDefault="0063487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к Правилам определения требований к от</w:t>
      </w:r>
      <w:r>
        <w:rPr>
          <w:sz w:val="26"/>
          <w:szCs w:val="26"/>
        </w:rPr>
        <w:t xml:space="preserve">-дельным </w:t>
      </w:r>
      <w:r w:rsidRPr="007E7123">
        <w:rPr>
          <w:sz w:val="26"/>
          <w:szCs w:val="26"/>
        </w:rPr>
        <w:t>видам товаров, работ, услуг (в том числе предельных цен товаров, работ, услуг), закупаемым</w:t>
      </w:r>
      <w:r>
        <w:rPr>
          <w:sz w:val="26"/>
          <w:szCs w:val="26"/>
        </w:rPr>
        <w:t xml:space="preserve"> Администрацией Гордеевского сельсовета Троицкого района </w:t>
      </w:r>
      <w:r w:rsidRPr="007E7123">
        <w:rPr>
          <w:sz w:val="26"/>
          <w:szCs w:val="26"/>
        </w:rPr>
        <w:t>Алтайского края</w:t>
      </w:r>
    </w:p>
    <w:p w:rsidR="00634874" w:rsidRPr="00BE0083" w:rsidRDefault="0063487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634874" w:rsidRPr="00BE0083" w:rsidRDefault="0063487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634874" w:rsidRPr="00BE0083" w:rsidRDefault="0063487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634874" w:rsidRDefault="0063487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</w:p>
    <w:p w:rsidR="00634874" w:rsidRPr="00BE0083" w:rsidRDefault="0063487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</w:t>
      </w:r>
    </w:p>
    <w:p w:rsidR="00634874" w:rsidRPr="001C1234" w:rsidRDefault="00634874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75"/>
        <w:gridCol w:w="908"/>
        <w:gridCol w:w="2132"/>
        <w:gridCol w:w="2309"/>
        <w:gridCol w:w="805"/>
        <w:gridCol w:w="1445"/>
        <w:gridCol w:w="2151"/>
        <w:gridCol w:w="2042"/>
        <w:gridCol w:w="1576"/>
        <w:gridCol w:w="1697"/>
      </w:tblGrid>
      <w:tr w:rsidR="00634874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 п/п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3487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3487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C9189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в </w:t>
            </w:r>
            <w:r>
              <w:t>Администрации Гордеевского сельсовета</w:t>
            </w:r>
            <w:r w:rsidRPr="00746642">
              <w:t xml:space="preserve"> </w:t>
            </w:r>
            <w:r>
              <w:t>Троицк</w:t>
            </w:r>
            <w:r w:rsidRPr="00E36DEA">
              <w:t>ого района</w:t>
            </w:r>
            <w:r>
              <w:rPr>
                <w:sz w:val="26"/>
                <w:szCs w:val="26"/>
              </w:rPr>
              <w:t xml:space="preserve"> </w:t>
            </w:r>
            <w:r w:rsidRPr="00746642">
              <w:t>Алтайского края</w:t>
            </w:r>
          </w:p>
        </w:tc>
      </w:tr>
      <w:tr w:rsidR="0063487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</w:t>
            </w:r>
            <w:r>
              <w:t>муниципальной</w:t>
            </w:r>
            <w:r w:rsidRPr="00746642">
              <w:t xml:space="preserve"> </w:t>
            </w:r>
            <w:r w:rsidRPr="00695817">
              <w:t>службы высш</w:t>
            </w:r>
            <w:r>
              <w:t>ей</w:t>
            </w:r>
            <w:r w:rsidRPr="00695817">
              <w:t>, главн</w:t>
            </w:r>
            <w:r>
              <w:t>ой</w:t>
            </w:r>
            <w:r w:rsidRPr="00695817">
              <w:t xml:space="preserve">, </w:t>
            </w:r>
            <w:r>
              <w:t xml:space="preserve">старшей </w:t>
            </w:r>
            <w:r w:rsidRPr="00695817">
              <w:t>группы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874" w:rsidRPr="00746642" w:rsidRDefault="00634874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>
              <w:t xml:space="preserve">обслуживающий персонал </w:t>
            </w:r>
          </w:p>
        </w:tc>
      </w:tr>
      <w:tr w:rsidR="0063487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9189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>
              <w:t>высшая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9189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>
              <w:t>главная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91892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>
              <w:t>старшая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63487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041F00" w:rsidRDefault="00634874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63487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>
              <w:t xml:space="preserve"> </w:t>
            </w:r>
            <w:r w:rsidRPr="00746642">
              <w:t>цифровые портатив</w:t>
            </w:r>
            <w:r w:rsidRPr="00746642">
              <w:softHyphen/>
              <w:t>ные массой не более 10 кг для автомати</w:t>
            </w:r>
            <w:r w:rsidRPr="00746642">
              <w:softHyphen/>
              <w:t>ческой обработки данных («лэптопы», «ноутбуки», «сабно</w:t>
            </w:r>
            <w:r w:rsidRPr="00746642">
              <w:softHyphen/>
              <w:t>утбуки»).</w:t>
            </w:r>
          </w:p>
          <w:p w:rsidR="00634874" w:rsidRPr="00041F00" w:rsidRDefault="00634874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размер и тип экрана, вес, тип процессора,</w:t>
            </w:r>
            <w:r>
              <w:t xml:space="preserve"> </w:t>
            </w:r>
            <w:r w:rsidRPr="00746642">
              <w:t>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наличие модулей Wi-Fi, Bluetooth, под</w:t>
            </w:r>
            <w:r w:rsidRPr="00746642">
              <w:softHyphen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4874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041F00" w:rsidRDefault="00634874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634874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lastRenderedPageBreak/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>ства, устройства ввода, устройства вывода. Пояснения по требуемой продук</w:t>
            </w:r>
            <w:r>
              <w:t>-</w:t>
            </w:r>
            <w:r w:rsidRPr="00746642">
              <w:t>ции: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Устройства ввода/вывода данных, содержащие или не содержащие в одном корпусе запоми</w:t>
            </w:r>
            <w:r>
              <w:t>-</w:t>
            </w:r>
            <w:r w:rsidRPr="00746642">
              <w:t>нающие устройства.</w:t>
            </w:r>
          </w:p>
          <w:p w:rsidR="00634874" w:rsidRPr="00746642" w:rsidRDefault="00634874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 принтеры, сканеры,</w:t>
            </w:r>
            <w:r>
              <w:t xml:space="preserve"> </w:t>
            </w:r>
            <w:r w:rsidRPr="00746642">
              <w:t>многофункциональ</w:t>
            </w:r>
            <w:r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>нального устройства), цветность (цветной/черно-белый), максимальный формат, скорость печати/сканирования, наличие дополнитель</w:t>
            </w:r>
            <w:r>
              <w:t>-</w:t>
            </w:r>
            <w:r w:rsidRPr="00746642">
              <w:t>ных модулей и интерфейсов (сетевой интерфейс, устройства 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487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041F00" w:rsidRDefault="00634874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634874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  <w:vAlign w:val="center"/>
          </w:tcPr>
          <w:p w:rsidR="00634874" w:rsidRPr="00746642" w:rsidRDefault="00634874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63487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автотранс-портные 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AE6A3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>
              <w:t xml:space="preserve"> </w:t>
            </w:r>
            <w:r w:rsidRPr="00746642">
              <w:t>значение</w:t>
            </w:r>
            <w:r>
              <w:t> </w:t>
            </w:r>
            <w:r w:rsidRPr="00746642">
              <w:t>- искусственная кожа; возможные значения: искус</w:t>
            </w:r>
            <w:r>
              <w:t>-</w:t>
            </w:r>
            <w:r w:rsidRPr="00746642">
              <w:t>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Pr="00746642">
              <w:t>- искусственная кожа; возмож</w:t>
            </w:r>
            <w:r>
              <w:t>-</w:t>
            </w:r>
            <w:r w:rsidRPr="00746642">
              <w:t>ные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634874" w:rsidRPr="00746642" w:rsidRDefault="00634874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>чения: искус</w:t>
            </w:r>
            <w:r>
              <w:t>-</w:t>
            </w:r>
            <w:r w:rsidRPr="00746642">
              <w:t>ственная замша (микрофибра), ткань, нетканые материалы</w:t>
            </w:r>
          </w:p>
        </w:tc>
      </w:tr>
      <w:tr w:rsidR="0063487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E6A3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</w:t>
            </w:r>
            <w:r>
              <w:t>-</w:t>
            </w:r>
            <w:r w:rsidRPr="00746642">
              <w:t>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>
              <w:t> </w:t>
            </w:r>
            <w:r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874" w:rsidRPr="00746642" w:rsidRDefault="00634874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древе</w:t>
            </w:r>
            <w:r w:rsidRPr="00746642">
              <w:softHyphen/>
              <w:t>сина хвойных и лиственных пород</w:t>
            </w:r>
          </w:p>
        </w:tc>
      </w:tr>
      <w:tr w:rsidR="00634874" w:rsidRPr="00746642" w:rsidTr="00F81734">
        <w:trPr>
          <w:trHeight w:val="2367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>
              <w:t>-</w:t>
            </w:r>
            <w:r w:rsidRPr="00746642">
              <w:t>ние - искусственная кожа; возможные значения: искус</w:t>
            </w:r>
            <w:r>
              <w:t>-</w:t>
            </w:r>
            <w:r w:rsidRPr="00746642">
              <w:t>ственная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>
              <w:t>-</w:t>
            </w:r>
            <w:r w:rsidRPr="00746642">
              <w:t xml:space="preserve"> ис</w:t>
            </w:r>
            <w:r>
              <w:t>-</w:t>
            </w:r>
            <w:r w:rsidRPr="00746642">
              <w:t>кусственная кожа; возмож</w:t>
            </w:r>
            <w:r>
              <w:t>-</w:t>
            </w:r>
            <w:r w:rsidRPr="00746642">
              <w:t>ные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874" w:rsidRPr="00746642" w:rsidRDefault="00634874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>чения: искус</w:t>
            </w:r>
            <w:r>
              <w:t>-</w:t>
            </w:r>
            <w:r w:rsidRPr="00746642">
              <w:t>ственная замша (микрофибра), ткань, нетканые материалы</w:t>
            </w:r>
          </w:p>
        </w:tc>
      </w:tr>
    </w:tbl>
    <w:p w:rsidR="00634874" w:rsidRDefault="00634874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75"/>
        <w:gridCol w:w="908"/>
        <w:gridCol w:w="2132"/>
        <w:gridCol w:w="2309"/>
        <w:gridCol w:w="805"/>
        <w:gridCol w:w="1445"/>
        <w:gridCol w:w="2151"/>
        <w:gridCol w:w="2042"/>
        <w:gridCol w:w="1576"/>
        <w:gridCol w:w="1697"/>
      </w:tblGrid>
      <w:tr w:rsidR="00634874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041F00" w:rsidRDefault="00634874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63487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>министративных по</w:t>
            </w:r>
            <w:r>
              <w:t>-</w:t>
            </w:r>
            <w:r w:rsidRPr="00746642">
              <w:t>мещений,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</w:tcBorders>
          </w:tcPr>
          <w:p w:rsidR="00634874" w:rsidRPr="00746642" w:rsidRDefault="0063487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3487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>
              <w:t>-ние </w:t>
            </w:r>
            <w:r w:rsidRPr="00746642">
              <w:t>- древесина хвойных и листвен</w:t>
            </w:r>
            <w:r>
              <w:t>-</w:t>
            </w:r>
            <w:r w:rsidRPr="00746642">
              <w:t>ных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Pr="00746642">
              <w:t>- древе</w:t>
            </w:r>
            <w:r w:rsidRPr="00746642">
              <w:softHyphen/>
              <w:t>сина хвойных и лиственных пород</w:t>
            </w:r>
          </w:p>
        </w:tc>
      </w:tr>
      <w:tr w:rsidR="0063487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63487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63487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63487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финан-совой аренде (ли-зингу) планшетных компьютеров, теле-фонов мобильных, автомобилей легко-вых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74" w:rsidRPr="00746642" w:rsidRDefault="00634874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634874" w:rsidRDefault="00634874" w:rsidP="00F4792B">
      <w:pPr>
        <w:spacing w:line="240" w:lineRule="exact"/>
        <w:rPr>
          <w:sz w:val="28"/>
          <w:szCs w:val="28"/>
        </w:rPr>
      </w:pPr>
    </w:p>
    <w:p w:rsidR="00634874" w:rsidRDefault="00634874" w:rsidP="00F4792B">
      <w:pPr>
        <w:spacing w:line="240" w:lineRule="exact"/>
        <w:rPr>
          <w:sz w:val="28"/>
          <w:szCs w:val="28"/>
        </w:rPr>
      </w:pPr>
    </w:p>
    <w:p w:rsidR="00634874" w:rsidRDefault="00634874" w:rsidP="00F479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                                       </w:t>
      </w:r>
      <w:r w:rsidR="005B3A5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В.Ф. Богданов</w:t>
      </w:r>
    </w:p>
    <w:sectPr w:rsidR="00634874" w:rsidSect="006625FF">
      <w:headerReference w:type="first" r:id="rId12"/>
      <w:type w:val="nextColumn"/>
      <w:pgSz w:w="16840" w:h="11907" w:orient="landscape" w:code="9"/>
      <w:pgMar w:top="1134" w:right="567" w:bottom="1134" w:left="1276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76" w:rsidRDefault="00645676">
      <w:r>
        <w:separator/>
      </w:r>
    </w:p>
  </w:endnote>
  <w:endnote w:type="continuationSeparator" w:id="1">
    <w:p w:rsidR="00645676" w:rsidRDefault="0064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74" w:rsidRDefault="00634874">
    <w:pPr>
      <w:pStyle w:val="a5"/>
      <w:jc w:val="center"/>
    </w:pPr>
  </w:p>
  <w:p w:rsidR="00634874" w:rsidRDefault="006348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76" w:rsidRDefault="00645676">
      <w:r>
        <w:separator/>
      </w:r>
    </w:p>
  </w:footnote>
  <w:footnote w:type="continuationSeparator" w:id="1">
    <w:p w:rsidR="00645676" w:rsidRDefault="0064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74" w:rsidRDefault="00EF5B74" w:rsidP="006F5CDB">
    <w:pPr>
      <w:pStyle w:val="a3"/>
      <w:jc w:val="right"/>
    </w:pPr>
    <w:fldSimple w:instr="PAGE   \* MERGEFORMAT">
      <w:r w:rsidR="006625FF">
        <w:rPr>
          <w:noProof/>
        </w:rPr>
        <w:t>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74" w:rsidRDefault="00634874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74" w:rsidRPr="006F5CDB" w:rsidRDefault="00634874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02CE1"/>
    <w:rsid w:val="00004E4F"/>
    <w:rsid w:val="0001047C"/>
    <w:rsid w:val="0001072A"/>
    <w:rsid w:val="00012296"/>
    <w:rsid w:val="0001586A"/>
    <w:rsid w:val="00015D8A"/>
    <w:rsid w:val="000168F0"/>
    <w:rsid w:val="00022463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1431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54EE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5751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02CB"/>
    <w:rsid w:val="001C0993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23F6"/>
    <w:rsid w:val="001E348B"/>
    <w:rsid w:val="001E4845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46E0"/>
    <w:rsid w:val="002562F8"/>
    <w:rsid w:val="002563F4"/>
    <w:rsid w:val="00257F80"/>
    <w:rsid w:val="00262756"/>
    <w:rsid w:val="00265DD7"/>
    <w:rsid w:val="00266ED7"/>
    <w:rsid w:val="00273429"/>
    <w:rsid w:val="002746FB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1352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35A3"/>
    <w:rsid w:val="00307B09"/>
    <w:rsid w:val="0031271D"/>
    <w:rsid w:val="00315591"/>
    <w:rsid w:val="00315EAD"/>
    <w:rsid w:val="0031659A"/>
    <w:rsid w:val="00317A14"/>
    <w:rsid w:val="00317A9F"/>
    <w:rsid w:val="00321249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726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71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2578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5446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499B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059B"/>
    <w:rsid w:val="00462E84"/>
    <w:rsid w:val="00470A29"/>
    <w:rsid w:val="004711FF"/>
    <w:rsid w:val="004717D4"/>
    <w:rsid w:val="00475C10"/>
    <w:rsid w:val="00477D1E"/>
    <w:rsid w:val="00477FF4"/>
    <w:rsid w:val="00484985"/>
    <w:rsid w:val="0049040E"/>
    <w:rsid w:val="00490E00"/>
    <w:rsid w:val="00493394"/>
    <w:rsid w:val="00494378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BB5"/>
    <w:rsid w:val="004C2ECA"/>
    <w:rsid w:val="004C3053"/>
    <w:rsid w:val="004C470D"/>
    <w:rsid w:val="004C6660"/>
    <w:rsid w:val="004C7072"/>
    <w:rsid w:val="004D305E"/>
    <w:rsid w:val="004D4456"/>
    <w:rsid w:val="004D528C"/>
    <w:rsid w:val="004D71DB"/>
    <w:rsid w:val="004D76DE"/>
    <w:rsid w:val="004E18D0"/>
    <w:rsid w:val="004E19F7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3243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86F93"/>
    <w:rsid w:val="005901D1"/>
    <w:rsid w:val="00597012"/>
    <w:rsid w:val="00597390"/>
    <w:rsid w:val="005A09F9"/>
    <w:rsid w:val="005A1929"/>
    <w:rsid w:val="005A5921"/>
    <w:rsid w:val="005B0E8C"/>
    <w:rsid w:val="005B1F1B"/>
    <w:rsid w:val="005B3A5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4874"/>
    <w:rsid w:val="006353E9"/>
    <w:rsid w:val="006402F4"/>
    <w:rsid w:val="00641A7C"/>
    <w:rsid w:val="0064265A"/>
    <w:rsid w:val="00643D2D"/>
    <w:rsid w:val="00645676"/>
    <w:rsid w:val="006478DE"/>
    <w:rsid w:val="00647B0B"/>
    <w:rsid w:val="00651064"/>
    <w:rsid w:val="0065137E"/>
    <w:rsid w:val="00651DD0"/>
    <w:rsid w:val="00652F25"/>
    <w:rsid w:val="0065322A"/>
    <w:rsid w:val="006547FC"/>
    <w:rsid w:val="006604CF"/>
    <w:rsid w:val="006612E9"/>
    <w:rsid w:val="00661AFE"/>
    <w:rsid w:val="00661DF9"/>
    <w:rsid w:val="0066220E"/>
    <w:rsid w:val="006625FF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0BEE"/>
    <w:rsid w:val="006C11E6"/>
    <w:rsid w:val="006C25D2"/>
    <w:rsid w:val="006C3D93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6412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3174"/>
    <w:rsid w:val="007432C0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696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ABE"/>
    <w:rsid w:val="00826B24"/>
    <w:rsid w:val="00826E43"/>
    <w:rsid w:val="0082743D"/>
    <w:rsid w:val="00827D3E"/>
    <w:rsid w:val="008317D7"/>
    <w:rsid w:val="00832E9C"/>
    <w:rsid w:val="008352A7"/>
    <w:rsid w:val="00835C7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1DC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4370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227A"/>
    <w:rsid w:val="008E34EF"/>
    <w:rsid w:val="008E3519"/>
    <w:rsid w:val="008E53C7"/>
    <w:rsid w:val="008E5632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5E04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B1DCA"/>
    <w:rsid w:val="009B6A05"/>
    <w:rsid w:val="009C054D"/>
    <w:rsid w:val="009C5390"/>
    <w:rsid w:val="009D1F03"/>
    <w:rsid w:val="009D340B"/>
    <w:rsid w:val="009D3778"/>
    <w:rsid w:val="009D3F63"/>
    <w:rsid w:val="009D5778"/>
    <w:rsid w:val="009E1A44"/>
    <w:rsid w:val="009E4163"/>
    <w:rsid w:val="009E440A"/>
    <w:rsid w:val="009E5FAE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04DCF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84A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87BF4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A6083"/>
    <w:rsid w:val="00AB0E62"/>
    <w:rsid w:val="00AB128F"/>
    <w:rsid w:val="00AB1B5C"/>
    <w:rsid w:val="00AB2871"/>
    <w:rsid w:val="00AB5180"/>
    <w:rsid w:val="00AC06D1"/>
    <w:rsid w:val="00AC20FB"/>
    <w:rsid w:val="00AC3C6F"/>
    <w:rsid w:val="00AC4BCA"/>
    <w:rsid w:val="00AD0F4D"/>
    <w:rsid w:val="00AD2BD0"/>
    <w:rsid w:val="00AD7E50"/>
    <w:rsid w:val="00AE12DC"/>
    <w:rsid w:val="00AE242E"/>
    <w:rsid w:val="00AE3198"/>
    <w:rsid w:val="00AE3972"/>
    <w:rsid w:val="00AE3F31"/>
    <w:rsid w:val="00AE54E1"/>
    <w:rsid w:val="00AE6A33"/>
    <w:rsid w:val="00AF23A2"/>
    <w:rsid w:val="00AF39EF"/>
    <w:rsid w:val="00AF3D94"/>
    <w:rsid w:val="00AF4405"/>
    <w:rsid w:val="00AF5509"/>
    <w:rsid w:val="00AF6123"/>
    <w:rsid w:val="00AF700C"/>
    <w:rsid w:val="00AF738B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4B4B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5E75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1362"/>
    <w:rsid w:val="00BC24AC"/>
    <w:rsid w:val="00BC3CE0"/>
    <w:rsid w:val="00BC47DD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20504"/>
    <w:rsid w:val="00C206B2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451FE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3825"/>
    <w:rsid w:val="00C86825"/>
    <w:rsid w:val="00C87996"/>
    <w:rsid w:val="00C90462"/>
    <w:rsid w:val="00C91892"/>
    <w:rsid w:val="00C91E34"/>
    <w:rsid w:val="00C92376"/>
    <w:rsid w:val="00C96CD6"/>
    <w:rsid w:val="00C974E6"/>
    <w:rsid w:val="00CA069E"/>
    <w:rsid w:val="00CA1135"/>
    <w:rsid w:val="00CA3942"/>
    <w:rsid w:val="00CA4D16"/>
    <w:rsid w:val="00CA58FE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40D0"/>
    <w:rsid w:val="00CE6057"/>
    <w:rsid w:val="00CF0A56"/>
    <w:rsid w:val="00CF220C"/>
    <w:rsid w:val="00CF3CB2"/>
    <w:rsid w:val="00D0050C"/>
    <w:rsid w:val="00D00834"/>
    <w:rsid w:val="00D02CC6"/>
    <w:rsid w:val="00D0310D"/>
    <w:rsid w:val="00D03811"/>
    <w:rsid w:val="00D05F33"/>
    <w:rsid w:val="00D05F9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49B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113"/>
    <w:rsid w:val="00D66571"/>
    <w:rsid w:val="00D70399"/>
    <w:rsid w:val="00D75399"/>
    <w:rsid w:val="00D817A1"/>
    <w:rsid w:val="00D82EB8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5D65"/>
    <w:rsid w:val="00DA661B"/>
    <w:rsid w:val="00DA7D45"/>
    <w:rsid w:val="00DA7FBC"/>
    <w:rsid w:val="00DB0446"/>
    <w:rsid w:val="00DB2110"/>
    <w:rsid w:val="00DB2BF4"/>
    <w:rsid w:val="00DB3708"/>
    <w:rsid w:val="00DB4B12"/>
    <w:rsid w:val="00DB67B7"/>
    <w:rsid w:val="00DC5761"/>
    <w:rsid w:val="00DC5B5A"/>
    <w:rsid w:val="00DC5F55"/>
    <w:rsid w:val="00DC6A83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00F9"/>
    <w:rsid w:val="00E2255A"/>
    <w:rsid w:val="00E24565"/>
    <w:rsid w:val="00E26043"/>
    <w:rsid w:val="00E26363"/>
    <w:rsid w:val="00E271E3"/>
    <w:rsid w:val="00E3090B"/>
    <w:rsid w:val="00E36206"/>
    <w:rsid w:val="00E36DEA"/>
    <w:rsid w:val="00E3703C"/>
    <w:rsid w:val="00E437D3"/>
    <w:rsid w:val="00E445FC"/>
    <w:rsid w:val="00E45650"/>
    <w:rsid w:val="00E470D3"/>
    <w:rsid w:val="00E47177"/>
    <w:rsid w:val="00E5100B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4F40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0AC0"/>
    <w:rsid w:val="00EB30EA"/>
    <w:rsid w:val="00EB37E9"/>
    <w:rsid w:val="00EB3C1A"/>
    <w:rsid w:val="00EB3E7E"/>
    <w:rsid w:val="00EB5F10"/>
    <w:rsid w:val="00EB7BAF"/>
    <w:rsid w:val="00EC0C16"/>
    <w:rsid w:val="00EC2890"/>
    <w:rsid w:val="00EC335A"/>
    <w:rsid w:val="00EC387D"/>
    <w:rsid w:val="00EC7E70"/>
    <w:rsid w:val="00ED0AC5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5B74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2B29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16F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D7EC9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 w:cs="Times New Roman"/>
      <w:b/>
      <w:spacing w:val="28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2349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2349ED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23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23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23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23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23F6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  <w:rPr>
      <w:rFonts w:cs="Times New Roman"/>
    </w:r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  <w:rPr>
      <w:rFonts w:cs="Times New Roman"/>
    </w:rPr>
  </w:style>
  <w:style w:type="character" w:styleId="a7">
    <w:name w:val="page number"/>
    <w:basedOn w:val="a0"/>
    <w:uiPriority w:val="99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23F6"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E23F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3F6"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E23F6"/>
    <w:rPr>
      <w:rFonts w:cs="Times New Roman"/>
      <w:sz w:val="2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E23F6"/>
    <w:rPr>
      <w:rFonts w:cs="Times New Roman"/>
      <w:sz w:val="2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basedOn w:val="a0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rsid w:val="00907CB1"/>
  </w:style>
  <w:style w:type="character" w:customStyle="1" w:styleId="affffd">
    <w:name w:val="Текст примечания Знак"/>
    <w:basedOn w:val="a0"/>
    <w:link w:val="affffc"/>
    <w:uiPriority w:val="99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locked/>
    <w:rsid w:val="00907CB1"/>
    <w:rPr>
      <w:b/>
    </w:rPr>
  </w:style>
  <w:style w:type="paragraph" w:customStyle="1" w:styleId="ConsPlusNormal">
    <w:name w:val="ConsPlusNormal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List Paragraph"/>
    <w:basedOn w:val="a"/>
    <w:uiPriority w:val="99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Title">
    <w:name w:val="ConsPlusTitle"/>
    <w:uiPriority w:val="99"/>
    <w:rsid w:val="00FB51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FontStyle24">
    <w:name w:val="Font Style24"/>
    <w:uiPriority w:val="99"/>
    <w:rsid w:val="008E227A"/>
    <w:rPr>
      <w:rFonts w:ascii="Times New Roman" w:hAnsi="Times New Roman"/>
      <w:sz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1716ED247EA43ADA99171337BD4887B7A454FB06A069C4A55D0D3647CB0BAF4E8637EFCV7r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0E9E4441229D735B53ED854FFBEB67D76B33A0A946B3C9F9F6B176D27A42C7C87050B9288D47BoAh1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9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56</cp:revision>
  <cp:lastPrinted>2016-08-02T06:50:00Z</cp:lastPrinted>
  <dcterms:created xsi:type="dcterms:W3CDTF">2016-05-28T10:48:00Z</dcterms:created>
  <dcterms:modified xsi:type="dcterms:W3CDTF">2017-01-21T16:33:00Z</dcterms:modified>
</cp:coreProperties>
</file>